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BB51" w14:textId="77777777" w:rsidR="009C4072" w:rsidRDefault="00140630">
      <w:pPr>
        <w:spacing w:line="560" w:lineRule="exact"/>
        <w:jc w:val="center"/>
        <w:rPr>
          <w:rFonts w:ascii="方正小标宋" w:eastAsia="方正小标宋" w:hAnsi="方正小标宋" w:cs="方正小标宋"/>
          <w:sz w:val="44"/>
          <w:szCs w:val="44"/>
        </w:rPr>
      </w:pPr>
      <w:r>
        <w:rPr>
          <w:rFonts w:ascii="方正小标宋" w:eastAsia="方正小标宋" w:hAnsi="方正小标宋" w:cs="方正小标宋" w:hint="eastAsia"/>
          <w:sz w:val="44"/>
          <w:szCs w:val="44"/>
        </w:rPr>
        <w:t>致家长的一封信</w:t>
      </w:r>
    </w:p>
    <w:p w14:paraId="4822E299" w14:textId="77777777" w:rsidR="009C4072" w:rsidRDefault="009C4072">
      <w:pPr>
        <w:spacing w:line="560" w:lineRule="exact"/>
        <w:rPr>
          <w:rFonts w:ascii="仿宋_GB2312" w:eastAsia="仿宋_GB2312"/>
          <w:kern w:val="0"/>
          <w:sz w:val="32"/>
          <w:szCs w:val="32"/>
          <w:lang w:bidi="ar"/>
        </w:rPr>
      </w:pPr>
    </w:p>
    <w:p w14:paraId="7D5BEF0E" w14:textId="77777777" w:rsidR="009C4072" w:rsidRDefault="00140630">
      <w:pPr>
        <w:spacing w:line="560" w:lineRule="exact"/>
        <w:rPr>
          <w:rFonts w:ascii="仿宋_GB2312" w:eastAsia="仿宋_GB2312"/>
          <w:kern w:val="0"/>
          <w:sz w:val="32"/>
          <w:szCs w:val="32"/>
          <w:lang w:bidi="ar"/>
        </w:rPr>
      </w:pPr>
      <w:r>
        <w:rPr>
          <w:rFonts w:ascii="仿宋_GB2312" w:eastAsia="仿宋_GB2312" w:hint="eastAsia"/>
          <w:kern w:val="0"/>
          <w:sz w:val="32"/>
          <w:szCs w:val="32"/>
          <w:lang w:bidi="ar"/>
        </w:rPr>
        <w:t>尊敬的学生家长：</w:t>
      </w:r>
    </w:p>
    <w:p w14:paraId="4AEEE65E" w14:textId="77777777" w:rsidR="009C4072" w:rsidRDefault="00140630">
      <w:pPr>
        <w:spacing w:line="560" w:lineRule="exact"/>
        <w:rPr>
          <w:rFonts w:ascii="仿宋_GB2312" w:eastAsia="仿宋_GB2312"/>
          <w:kern w:val="0"/>
          <w:sz w:val="32"/>
          <w:szCs w:val="32"/>
          <w:lang w:bidi="ar"/>
        </w:rPr>
      </w:pPr>
      <w:r>
        <w:rPr>
          <w:rFonts w:ascii="仿宋_GB2312" w:eastAsia="仿宋_GB2312" w:hint="eastAsia"/>
          <w:kern w:val="0"/>
          <w:sz w:val="32"/>
          <w:szCs w:val="32"/>
          <w:lang w:bidi="ar"/>
        </w:rPr>
        <w:t xml:space="preserve">    您好！为贯彻落实《关于进一步减轻义务教育阶段学生作业负担和校外培训负担的意见》精神，深化校外培训机构治理，全面创建开发区校外培训良好环境，切实维护您的合法权益，避免产生不必要的损失，请您自觉抵制违法违规校外培训行为，提高防范意识！如果要选择参加校外培训，请注意以下事项：</w:t>
      </w:r>
    </w:p>
    <w:p w14:paraId="4A088EC5" w14:textId="6FD5BF57" w:rsidR="009C4072" w:rsidRDefault="00140630">
      <w:pPr>
        <w:spacing w:line="560" w:lineRule="exact"/>
        <w:ind w:firstLineChars="200" w:firstLine="640"/>
        <w:rPr>
          <w:rFonts w:ascii="仿宋_GB2312" w:eastAsia="仿宋_GB2312"/>
          <w:kern w:val="0"/>
          <w:sz w:val="32"/>
          <w:szCs w:val="32"/>
          <w:lang w:bidi="ar"/>
        </w:rPr>
      </w:pPr>
      <w:r>
        <w:rPr>
          <w:rFonts w:ascii="楷体" w:eastAsia="楷体" w:hAnsi="楷体" w:cs="楷体" w:hint="eastAsia"/>
          <w:kern w:val="0"/>
          <w:sz w:val="32"/>
          <w:szCs w:val="32"/>
          <w:lang w:bidi="ar"/>
        </w:rPr>
        <w:t>一看办学资质。</w:t>
      </w:r>
      <w:r>
        <w:rPr>
          <w:rFonts w:ascii="仿宋_GB2312" w:eastAsia="仿宋_GB2312" w:hint="eastAsia"/>
          <w:kern w:val="0"/>
          <w:sz w:val="32"/>
          <w:szCs w:val="32"/>
          <w:lang w:bidi="ar"/>
        </w:rPr>
        <w:t>要选择具有</w:t>
      </w:r>
      <w:r>
        <w:rPr>
          <w:rFonts w:ascii="仿宋_GB2312" w:eastAsia="仿宋_GB2312"/>
          <w:kern w:val="0"/>
          <w:sz w:val="32"/>
          <w:szCs w:val="32"/>
          <w:lang w:bidi="ar"/>
        </w:rPr>
        <w:t>教育部门颁发的办学许可证</w:t>
      </w:r>
      <w:r>
        <w:rPr>
          <w:rFonts w:ascii="仿宋_GB2312" w:eastAsia="仿宋_GB2312" w:hint="eastAsia"/>
          <w:kern w:val="0"/>
          <w:sz w:val="32"/>
          <w:szCs w:val="32"/>
          <w:lang w:bidi="ar"/>
        </w:rPr>
        <w:t>资质的培训机构，办学地址是否与审批地址一致，办学内容是否与审批范围相符。</w:t>
      </w:r>
      <w:r>
        <w:rPr>
          <w:rFonts w:ascii="仿宋_GB2312" w:eastAsia="仿宋_GB2312"/>
          <w:kern w:val="0"/>
          <w:sz w:val="32"/>
          <w:szCs w:val="32"/>
          <w:lang w:bidi="ar"/>
        </w:rPr>
        <w:t>这些证件原件是悬挂于培训机构显著位置</w:t>
      </w:r>
      <w:r>
        <w:rPr>
          <w:rFonts w:ascii="仿宋_GB2312" w:eastAsia="仿宋_GB2312" w:hint="eastAsia"/>
          <w:kern w:val="0"/>
          <w:sz w:val="32"/>
          <w:szCs w:val="32"/>
          <w:lang w:bidi="ar"/>
        </w:rPr>
        <w:t>，不要参加不具备教育培训资质的托管机构、教育咨询公司、个人工作室等违规开展的培训，也不要参加以咨询、文化传播、“家政服务”“住家教师”“众筹私教”“研学”等名义违规开展的隐形变异学科类培训。</w:t>
      </w:r>
    </w:p>
    <w:p w14:paraId="455A079D" w14:textId="77777777" w:rsidR="009C4072" w:rsidRDefault="00140630">
      <w:pPr>
        <w:spacing w:line="560" w:lineRule="exact"/>
        <w:ind w:firstLineChars="200" w:firstLine="640"/>
        <w:rPr>
          <w:rFonts w:ascii="仿宋_GB2312" w:eastAsia="仿宋_GB2312"/>
          <w:kern w:val="0"/>
          <w:sz w:val="32"/>
          <w:szCs w:val="32"/>
          <w:lang w:bidi="ar"/>
        </w:rPr>
      </w:pPr>
      <w:r>
        <w:rPr>
          <w:rFonts w:ascii="楷体" w:eastAsia="楷体" w:hAnsi="楷体" w:cs="楷体" w:hint="eastAsia"/>
          <w:kern w:val="0"/>
          <w:sz w:val="32"/>
          <w:szCs w:val="32"/>
          <w:lang w:bidi="ar"/>
        </w:rPr>
        <w:t>二看教师资质。</w:t>
      </w:r>
      <w:r>
        <w:rPr>
          <w:rFonts w:ascii="仿宋_GB2312" w:eastAsia="仿宋_GB2312" w:hint="eastAsia"/>
          <w:kern w:val="0"/>
          <w:sz w:val="32"/>
          <w:szCs w:val="32"/>
          <w:lang w:bidi="ar"/>
        </w:rPr>
        <w:t>培训机构的教师须具备相应教师资格证书，非学科类培训机构的教师须具备相应的职业(专业)能力证明。家长可以通过“校外培训家长端”APP（https://xwpx.eduyun.cn/）查看培训机构的办学许可证和营业执照（或民办非企业单位登记证书）信息，凡不在APP名单内的社会机构均没有开展相应培训的资格。</w:t>
      </w:r>
    </w:p>
    <w:p w14:paraId="29E2E907" w14:textId="77777777" w:rsidR="009C4072" w:rsidRDefault="00140630">
      <w:pPr>
        <w:spacing w:line="560" w:lineRule="exact"/>
        <w:ind w:firstLineChars="200" w:firstLine="640"/>
        <w:rPr>
          <w:rFonts w:ascii="仿宋_GB2312" w:eastAsia="仿宋_GB2312"/>
          <w:kern w:val="0"/>
          <w:sz w:val="32"/>
          <w:szCs w:val="32"/>
          <w:lang w:bidi="ar"/>
        </w:rPr>
      </w:pPr>
      <w:r>
        <w:rPr>
          <w:rFonts w:ascii="楷体" w:eastAsia="楷体" w:hAnsi="楷体" w:cs="楷体" w:hint="eastAsia"/>
          <w:kern w:val="0"/>
          <w:sz w:val="32"/>
          <w:szCs w:val="32"/>
          <w:lang w:bidi="ar"/>
        </w:rPr>
        <w:t>三看收费价格。</w:t>
      </w:r>
      <w:r>
        <w:rPr>
          <w:rFonts w:ascii="仿宋_GB2312" w:eastAsia="仿宋_GB2312" w:hint="eastAsia"/>
          <w:kern w:val="0"/>
          <w:sz w:val="32"/>
          <w:szCs w:val="32"/>
          <w:lang w:bidi="ar"/>
        </w:rPr>
        <w:t>培训机构收费应当实行明码标价，培训内容、培训时长、收费项目、收费标准等信息应当在机构内</w:t>
      </w:r>
      <w:r>
        <w:rPr>
          <w:rFonts w:ascii="仿宋_GB2312" w:eastAsia="仿宋_GB2312" w:hint="eastAsia"/>
          <w:kern w:val="0"/>
          <w:sz w:val="32"/>
          <w:szCs w:val="32"/>
          <w:lang w:bidi="ar"/>
        </w:rPr>
        <w:lastRenderedPageBreak/>
        <w:t>显著位置公示。培训机构不得一次性收取或以充值、次卡等形式变相收取时间跨度超过3个月或60课时的费用，且不得超过5000元。</w:t>
      </w:r>
    </w:p>
    <w:p w14:paraId="011286F7" w14:textId="6EA1F4CF" w:rsidR="009C4072" w:rsidRDefault="00140630">
      <w:pPr>
        <w:spacing w:line="560" w:lineRule="exact"/>
        <w:ind w:firstLineChars="200" w:firstLine="640"/>
        <w:rPr>
          <w:rFonts w:ascii="仿宋_GB2312" w:eastAsia="仿宋_GB2312"/>
          <w:kern w:val="0"/>
          <w:sz w:val="32"/>
          <w:szCs w:val="32"/>
          <w:lang w:bidi="ar"/>
        </w:rPr>
      </w:pPr>
      <w:r>
        <w:rPr>
          <w:rFonts w:ascii="楷体" w:eastAsia="楷体" w:hAnsi="楷体" w:cs="楷体" w:hint="eastAsia"/>
          <w:kern w:val="0"/>
          <w:sz w:val="32"/>
          <w:szCs w:val="32"/>
          <w:lang w:bidi="ar"/>
        </w:rPr>
        <w:t>四看缴费方式。</w:t>
      </w:r>
      <w:r>
        <w:rPr>
          <w:rFonts w:ascii="仿宋_GB2312" w:eastAsia="仿宋_GB2312" w:hint="eastAsia"/>
          <w:kern w:val="0"/>
          <w:sz w:val="32"/>
          <w:szCs w:val="32"/>
          <w:lang w:bidi="ar"/>
        </w:rPr>
        <w:t>学员缴纳培训费应缴至“全国校外教育培训监管与服务综合平台”（网址：Xwpx.eduyun.cn）校外培训机构开设的资金托管专用账户（培训收费专用账户）。缴费完成后，要向机构索要与培训内容、缴费金额一致的发票，不要接受与实际交易内容不符的发票，不接受收据等“白条”。</w:t>
      </w:r>
    </w:p>
    <w:p w14:paraId="3ED067E7" w14:textId="77777777" w:rsidR="009C4072" w:rsidRDefault="00140630">
      <w:pPr>
        <w:spacing w:line="560" w:lineRule="exact"/>
        <w:ind w:firstLineChars="200" w:firstLine="640"/>
        <w:rPr>
          <w:rFonts w:ascii="仿宋_GB2312" w:eastAsia="仿宋_GB2312"/>
          <w:kern w:val="0"/>
          <w:sz w:val="32"/>
          <w:szCs w:val="32"/>
          <w:lang w:bidi="ar"/>
        </w:rPr>
      </w:pPr>
      <w:r>
        <w:rPr>
          <w:rFonts w:ascii="楷体" w:eastAsia="楷体" w:hAnsi="楷体" w:cs="楷体" w:hint="eastAsia"/>
          <w:kern w:val="0"/>
          <w:sz w:val="32"/>
          <w:szCs w:val="32"/>
          <w:lang w:bidi="ar"/>
        </w:rPr>
        <w:t>五看服务合同。</w:t>
      </w:r>
      <w:r>
        <w:rPr>
          <w:rFonts w:ascii="仿宋_GB2312" w:eastAsia="仿宋_GB2312" w:hint="eastAsia"/>
          <w:kern w:val="0"/>
          <w:sz w:val="32"/>
          <w:szCs w:val="32"/>
          <w:lang w:bidi="ar"/>
        </w:rPr>
        <w:t>家长应与机构签订《中小学生校外培训服务合同（示范文本）》（2021年修订版），并做好保存。按规定时限和周期缴费，不交纳一次性超过三个月（或60课时）的培训费。按培训周期收费的，不得早于新课开始前1个月收取费用。按课时收费的，续费不得早于本门科目剩余20课时。按周期收费和按课时收费同时进行的，只能选择收费时段较短的方式，不得变相超过3个月。</w:t>
      </w:r>
    </w:p>
    <w:p w14:paraId="5C2EEF45" w14:textId="6ADF97CD" w:rsidR="009C4072" w:rsidRDefault="00140630">
      <w:pPr>
        <w:spacing w:line="560" w:lineRule="exact"/>
        <w:ind w:firstLineChars="200" w:firstLine="640"/>
        <w:rPr>
          <w:rFonts w:ascii="仿宋_GB2312" w:eastAsia="仿宋_GB2312"/>
          <w:kern w:val="0"/>
          <w:sz w:val="32"/>
          <w:szCs w:val="32"/>
          <w:lang w:bidi="ar"/>
        </w:rPr>
      </w:pPr>
      <w:r>
        <w:rPr>
          <w:rFonts w:ascii="楷体" w:eastAsia="楷体" w:hAnsi="楷体" w:cs="楷体" w:hint="eastAsia"/>
          <w:kern w:val="0"/>
          <w:sz w:val="32"/>
          <w:szCs w:val="32"/>
          <w:lang w:bidi="ar"/>
        </w:rPr>
        <w:t>六看退费途径。</w:t>
      </w:r>
      <w:r>
        <w:rPr>
          <w:rFonts w:ascii="仿宋_GB2312" w:eastAsia="仿宋_GB2312" w:hint="eastAsia"/>
          <w:kern w:val="0"/>
          <w:sz w:val="32"/>
          <w:szCs w:val="32"/>
          <w:lang w:bidi="ar"/>
        </w:rPr>
        <w:t>申请退费的，家长可以通过“校外培训家长端APP”要求退费，校外培训机构按培训合同的退费约定启动退费程序。如果发生退费纠纷，您可以按照《山东省消费者权益保护条例》的相关规定，通过与机构协商解决、请求消费者协会或依法成立的其他组织调解、向有关行政部门投诉、根据与机构达成的服务合同提请仲裁机构仲裁或向人民法院提起诉讼等途径解决。</w:t>
      </w:r>
    </w:p>
    <w:p w14:paraId="0F9E1405" w14:textId="77777777" w:rsidR="009C4072" w:rsidRDefault="00140630">
      <w:pPr>
        <w:spacing w:line="560" w:lineRule="exact"/>
        <w:ind w:firstLineChars="200" w:firstLine="640"/>
        <w:rPr>
          <w:rFonts w:ascii="仿宋_GB2312" w:eastAsia="仿宋_GB2312"/>
          <w:kern w:val="0"/>
          <w:sz w:val="32"/>
          <w:szCs w:val="32"/>
          <w:lang w:bidi="ar"/>
        </w:rPr>
      </w:pPr>
      <w:r>
        <w:rPr>
          <w:rFonts w:ascii="楷体" w:eastAsia="楷体" w:hAnsi="楷体" w:cs="楷体" w:hint="eastAsia"/>
          <w:kern w:val="0"/>
          <w:sz w:val="32"/>
          <w:szCs w:val="32"/>
          <w:lang w:bidi="ar"/>
        </w:rPr>
        <w:t>七看安全管理。</w:t>
      </w:r>
      <w:r>
        <w:rPr>
          <w:rFonts w:ascii="仿宋_GB2312" w:eastAsia="仿宋_GB2312" w:hint="eastAsia"/>
          <w:kern w:val="0"/>
          <w:sz w:val="32"/>
          <w:szCs w:val="32"/>
          <w:lang w:bidi="ar"/>
        </w:rPr>
        <w:t>家长要树立安全意识，查看机构是否制</w:t>
      </w:r>
      <w:r>
        <w:rPr>
          <w:rFonts w:ascii="仿宋_GB2312" w:eastAsia="仿宋_GB2312" w:hint="eastAsia"/>
          <w:kern w:val="0"/>
          <w:sz w:val="32"/>
          <w:szCs w:val="32"/>
          <w:lang w:bidi="ar"/>
        </w:rPr>
        <w:lastRenderedPageBreak/>
        <w:t>定安全管理制度、应急预案和消防备案，是否张贴消防疏散示意图，并组织学生逃生演练培训，机构应配齐消防设施、一键报警装置、安全防护设施等，内部监控应做到公共区域全覆盖。达不到以上安全条件的培训机构，请您谨慎选择。在参加校外培训的过程中，家长应加强对孩子的防溺水安全教育、交通安全教育、防火防电安全教育、防欺凌安全教育等，确保孩子健康平安成长。</w:t>
      </w:r>
    </w:p>
    <w:p w14:paraId="3E72B126" w14:textId="77777777" w:rsidR="009C4072" w:rsidRDefault="00140630">
      <w:pPr>
        <w:spacing w:line="560" w:lineRule="exact"/>
        <w:ind w:firstLineChars="200" w:firstLine="640"/>
        <w:rPr>
          <w:rFonts w:ascii="仿宋_GB2312" w:eastAsia="仿宋_GB2312"/>
          <w:kern w:val="0"/>
          <w:sz w:val="32"/>
          <w:szCs w:val="32"/>
          <w:lang w:bidi="ar"/>
        </w:rPr>
      </w:pPr>
      <w:r>
        <w:rPr>
          <w:rFonts w:ascii="仿宋_GB2312" w:eastAsia="仿宋_GB2312" w:hint="eastAsia"/>
          <w:kern w:val="0"/>
          <w:sz w:val="32"/>
          <w:szCs w:val="32"/>
          <w:lang w:bidi="ar"/>
        </w:rPr>
        <w:t>家长朋友们，请自觉抵制“无证无照”、“地下”隐匿等违规培训机构，请勿选择监管平台之外未纳入预收费监管的校外培训机构。深入理解、把握和落实“双减”要求，同时，尊重孩子兴趣，理性选择适合孩子个性发展的非学科培训。让我们携起手来，为孩子们营造一个轻松学习的良好环境，理性规划孩子未来发展的方向并以实际行动支持“双减”政策落地实施。</w:t>
      </w:r>
    </w:p>
    <w:p w14:paraId="5102D486" w14:textId="77777777" w:rsidR="009C4072" w:rsidRDefault="00140630">
      <w:pPr>
        <w:spacing w:line="560" w:lineRule="exact"/>
        <w:ind w:firstLineChars="200" w:firstLine="640"/>
        <w:rPr>
          <w:rFonts w:ascii="仿宋_GB2312" w:eastAsia="仿宋_GB2312"/>
          <w:kern w:val="0"/>
          <w:sz w:val="32"/>
          <w:szCs w:val="32"/>
          <w:lang w:bidi="ar"/>
        </w:rPr>
      </w:pPr>
      <w:r>
        <w:rPr>
          <w:rFonts w:ascii="仿宋_GB2312" w:eastAsia="仿宋_GB2312" w:hint="eastAsia"/>
          <w:kern w:val="0"/>
          <w:sz w:val="32"/>
          <w:szCs w:val="32"/>
          <w:lang w:bidi="ar"/>
        </w:rPr>
        <w:t>东营经济技术开发区教育管理部咨询电话：8511798</w:t>
      </w:r>
    </w:p>
    <w:p w14:paraId="749FEAB9" w14:textId="77777777" w:rsidR="009C4072" w:rsidRDefault="009C4072">
      <w:pPr>
        <w:spacing w:line="560" w:lineRule="exact"/>
        <w:ind w:firstLineChars="200" w:firstLine="640"/>
        <w:rPr>
          <w:rFonts w:ascii="仿宋_GB2312" w:eastAsia="仿宋_GB2312"/>
          <w:kern w:val="0"/>
          <w:sz w:val="32"/>
          <w:szCs w:val="32"/>
          <w:lang w:bidi="ar"/>
        </w:rPr>
      </w:pPr>
    </w:p>
    <w:p w14:paraId="35FCB770" w14:textId="77777777" w:rsidR="009C4072" w:rsidRDefault="009C4072">
      <w:pPr>
        <w:spacing w:line="560" w:lineRule="exact"/>
        <w:ind w:firstLineChars="200" w:firstLine="640"/>
        <w:rPr>
          <w:rFonts w:ascii="仿宋_GB2312" w:eastAsia="仿宋_GB2312"/>
          <w:kern w:val="0"/>
          <w:sz w:val="32"/>
          <w:szCs w:val="32"/>
          <w:lang w:bidi="ar"/>
        </w:rPr>
      </w:pPr>
    </w:p>
    <w:p w14:paraId="3B1623D2" w14:textId="77777777" w:rsidR="009C4072" w:rsidRDefault="009C4072">
      <w:pPr>
        <w:spacing w:line="560" w:lineRule="exact"/>
        <w:rPr>
          <w:rFonts w:ascii="仿宋_GB2312" w:eastAsia="仿宋_GB2312"/>
          <w:kern w:val="0"/>
          <w:sz w:val="32"/>
          <w:szCs w:val="32"/>
          <w:lang w:bidi="ar"/>
        </w:rPr>
      </w:pPr>
    </w:p>
    <w:p w14:paraId="5B690ADA" w14:textId="77777777" w:rsidR="009C4072" w:rsidRDefault="009C4072">
      <w:pPr>
        <w:spacing w:line="560" w:lineRule="exact"/>
        <w:ind w:firstLineChars="200" w:firstLine="640"/>
        <w:rPr>
          <w:rFonts w:ascii="仿宋_GB2312" w:eastAsia="仿宋_GB2312"/>
          <w:kern w:val="0"/>
          <w:sz w:val="32"/>
          <w:szCs w:val="32"/>
          <w:lang w:bidi="ar"/>
        </w:rPr>
      </w:pPr>
    </w:p>
    <w:p w14:paraId="67D225AF" w14:textId="77777777" w:rsidR="009C4072" w:rsidRDefault="00140630">
      <w:pPr>
        <w:spacing w:line="560" w:lineRule="exact"/>
        <w:ind w:firstLineChars="200" w:firstLine="640"/>
        <w:jc w:val="right"/>
        <w:rPr>
          <w:rFonts w:ascii="仿宋_GB2312" w:eastAsia="仿宋_GB2312"/>
          <w:kern w:val="0"/>
          <w:sz w:val="32"/>
          <w:szCs w:val="32"/>
          <w:lang w:bidi="ar"/>
        </w:rPr>
      </w:pPr>
      <w:r>
        <w:rPr>
          <w:rFonts w:ascii="仿宋_GB2312" w:eastAsia="仿宋_GB2312" w:hint="eastAsia"/>
          <w:kern w:val="0"/>
          <w:sz w:val="32"/>
          <w:szCs w:val="32"/>
          <w:lang w:bidi="ar"/>
        </w:rPr>
        <w:t>东营经济技术开发区教育管理部</w:t>
      </w:r>
    </w:p>
    <w:p w14:paraId="03FC9846" w14:textId="62E69DD6" w:rsidR="009C4072" w:rsidRDefault="00140630">
      <w:pPr>
        <w:spacing w:line="560" w:lineRule="exact"/>
        <w:ind w:firstLineChars="200" w:firstLine="640"/>
        <w:jc w:val="center"/>
        <w:rPr>
          <w:rFonts w:ascii="仿宋_GB2312" w:eastAsia="仿宋_GB2312"/>
          <w:kern w:val="0"/>
          <w:sz w:val="32"/>
          <w:szCs w:val="32"/>
          <w:lang w:bidi="ar"/>
        </w:rPr>
      </w:pPr>
      <w:r>
        <w:rPr>
          <w:rFonts w:ascii="仿宋_GB2312" w:eastAsia="仿宋_GB2312" w:hint="eastAsia"/>
          <w:kern w:val="0"/>
          <w:sz w:val="32"/>
          <w:szCs w:val="32"/>
          <w:lang w:bidi="ar"/>
        </w:rPr>
        <w:t xml:space="preserve">                    202</w:t>
      </w:r>
      <w:r>
        <w:rPr>
          <w:rFonts w:ascii="仿宋_GB2312" w:eastAsia="仿宋_GB2312"/>
          <w:kern w:val="0"/>
          <w:sz w:val="32"/>
          <w:szCs w:val="32"/>
          <w:lang w:bidi="ar"/>
        </w:rPr>
        <w:t>4</w:t>
      </w:r>
      <w:r>
        <w:rPr>
          <w:rFonts w:ascii="仿宋_GB2312" w:eastAsia="仿宋_GB2312" w:hint="eastAsia"/>
          <w:kern w:val="0"/>
          <w:sz w:val="32"/>
          <w:szCs w:val="32"/>
          <w:lang w:bidi="ar"/>
        </w:rPr>
        <w:t>年1月1</w:t>
      </w:r>
      <w:r>
        <w:rPr>
          <w:rFonts w:ascii="仿宋_GB2312" w:eastAsia="仿宋_GB2312"/>
          <w:kern w:val="0"/>
          <w:sz w:val="32"/>
          <w:szCs w:val="32"/>
          <w:lang w:bidi="ar"/>
        </w:rPr>
        <w:t>2</w:t>
      </w:r>
      <w:r>
        <w:rPr>
          <w:rFonts w:ascii="仿宋_GB2312" w:eastAsia="仿宋_GB2312" w:hint="eastAsia"/>
          <w:kern w:val="0"/>
          <w:sz w:val="32"/>
          <w:szCs w:val="32"/>
          <w:lang w:bidi="ar"/>
        </w:rPr>
        <w:t>日</w:t>
      </w:r>
    </w:p>
    <w:p w14:paraId="0C6A65E9" w14:textId="77777777" w:rsidR="009C4072" w:rsidRDefault="009C4072">
      <w:pPr>
        <w:spacing w:line="560" w:lineRule="exact"/>
        <w:ind w:firstLineChars="200" w:firstLine="640"/>
        <w:rPr>
          <w:rFonts w:ascii="仿宋_GB2312" w:eastAsia="仿宋_GB2312"/>
          <w:kern w:val="0"/>
          <w:sz w:val="32"/>
          <w:szCs w:val="32"/>
          <w:lang w:bidi="ar"/>
        </w:rPr>
      </w:pPr>
    </w:p>
    <w:p w14:paraId="68D46320" w14:textId="77777777" w:rsidR="009C4072" w:rsidRDefault="009C4072">
      <w:pPr>
        <w:spacing w:line="560" w:lineRule="exact"/>
        <w:ind w:firstLineChars="200" w:firstLine="640"/>
        <w:rPr>
          <w:rFonts w:ascii="仿宋_GB2312" w:eastAsia="仿宋_GB2312"/>
          <w:kern w:val="0"/>
          <w:sz w:val="32"/>
          <w:szCs w:val="32"/>
          <w:lang w:bidi="ar"/>
        </w:rPr>
      </w:pPr>
    </w:p>
    <w:p w14:paraId="36EBA768" w14:textId="0D19ADE3" w:rsidR="009C4072" w:rsidRDefault="00A2294D">
      <w:pPr>
        <w:spacing w:line="560" w:lineRule="exact"/>
        <w:ind w:firstLineChars="200" w:firstLine="640"/>
        <w:rPr>
          <w:rFonts w:ascii="仿宋_GB2312" w:eastAsia="仿宋_GB2312"/>
          <w:kern w:val="0"/>
          <w:sz w:val="32"/>
          <w:szCs w:val="32"/>
          <w:lang w:bidi="ar"/>
        </w:rPr>
      </w:pPr>
      <w:r>
        <w:rPr>
          <w:rFonts w:ascii="仿宋_GB2312" w:eastAsia="仿宋_GB2312" w:hint="eastAsia"/>
          <w:kern w:val="0"/>
          <w:sz w:val="32"/>
          <w:szCs w:val="32"/>
          <w:lang w:bidi="ar"/>
        </w:rPr>
        <w:t>关于</w:t>
      </w:r>
      <w:r w:rsidR="00140630">
        <w:rPr>
          <w:rFonts w:ascii="仿宋_GB2312" w:eastAsia="仿宋_GB2312" w:hint="eastAsia"/>
          <w:kern w:val="0"/>
          <w:sz w:val="32"/>
          <w:szCs w:val="32"/>
          <w:lang w:bidi="ar"/>
        </w:rPr>
        <w:t>校外培训机构的</w:t>
      </w:r>
      <w:r>
        <w:rPr>
          <w:rFonts w:ascii="仿宋_GB2312" w:eastAsia="仿宋_GB2312" w:hint="eastAsia"/>
          <w:kern w:val="0"/>
          <w:sz w:val="32"/>
          <w:szCs w:val="32"/>
          <w:lang w:bidi="ar"/>
        </w:rPr>
        <w:t>更多</w:t>
      </w:r>
      <w:r w:rsidR="00140630">
        <w:rPr>
          <w:rFonts w:ascii="仿宋_GB2312" w:eastAsia="仿宋_GB2312" w:hint="eastAsia"/>
          <w:kern w:val="0"/>
          <w:sz w:val="32"/>
          <w:szCs w:val="32"/>
          <w:lang w:bidi="ar"/>
        </w:rPr>
        <w:t>政策可以扫码了解:</w:t>
      </w:r>
    </w:p>
    <w:p w14:paraId="09820006" w14:textId="77777777" w:rsidR="009C4072" w:rsidRDefault="00140630">
      <w:pPr>
        <w:spacing w:line="560" w:lineRule="exact"/>
        <w:rPr>
          <w:rFonts w:ascii="仿宋_GB2312" w:eastAsia="仿宋_GB2312"/>
          <w:kern w:val="0"/>
          <w:sz w:val="32"/>
          <w:szCs w:val="32"/>
          <w:lang w:bidi="ar"/>
        </w:rPr>
      </w:pPr>
      <w:r>
        <w:rPr>
          <w:rFonts w:ascii="仿宋_GB2312" w:eastAsia="仿宋_GB2312" w:hint="eastAsia"/>
          <w:kern w:val="0"/>
          <w:sz w:val="32"/>
          <w:szCs w:val="32"/>
          <w:lang w:bidi="ar"/>
        </w:rPr>
        <w:lastRenderedPageBreak/>
        <w:t>《关于规范面向中小学生的非学科类校外培训的意见》:</w:t>
      </w:r>
    </w:p>
    <w:p w14:paraId="5B47A558" w14:textId="77777777" w:rsidR="009C4072" w:rsidRDefault="00140630">
      <w:pPr>
        <w:spacing w:line="720" w:lineRule="auto"/>
        <w:jc w:val="center"/>
        <w:rPr>
          <w:rFonts w:ascii="仿宋_GB2312" w:eastAsia="仿宋_GB2312"/>
          <w:kern w:val="0"/>
          <w:sz w:val="32"/>
          <w:szCs w:val="32"/>
          <w:lang w:bidi="ar"/>
        </w:rPr>
      </w:pPr>
      <w:r>
        <w:rPr>
          <w:rFonts w:ascii="仿宋_GB2312" w:eastAsia="仿宋_GB2312" w:hint="eastAsia"/>
          <w:noProof/>
          <w:kern w:val="0"/>
          <w:sz w:val="32"/>
          <w:szCs w:val="32"/>
          <w:lang w:bidi="ar"/>
        </w:rPr>
        <w:drawing>
          <wp:inline distT="0" distB="0" distL="114300" distR="114300" wp14:anchorId="29FD5AF1" wp14:editId="7796A1BE">
            <wp:extent cx="1842770" cy="1800225"/>
            <wp:effectExtent l="0" t="0" r="5080" b="9525"/>
            <wp:docPr id="1" name="图片 1" descr="1a79f285b7de33e83de40e0e275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a79f285b7de33e83de40e0e2756138"/>
                    <pic:cNvPicPr>
                      <a:picLocks noChangeAspect="1"/>
                    </pic:cNvPicPr>
                  </pic:nvPicPr>
                  <pic:blipFill>
                    <a:blip r:embed="rId4"/>
                    <a:stretch>
                      <a:fillRect/>
                    </a:stretch>
                  </pic:blipFill>
                  <pic:spPr>
                    <a:xfrm>
                      <a:off x="0" y="0"/>
                      <a:ext cx="1842770" cy="1800225"/>
                    </a:xfrm>
                    <a:prstGeom prst="rect">
                      <a:avLst/>
                    </a:prstGeom>
                  </pic:spPr>
                </pic:pic>
              </a:graphicData>
            </a:graphic>
          </wp:inline>
        </w:drawing>
      </w:r>
    </w:p>
    <w:p w14:paraId="669EFF87" w14:textId="77777777" w:rsidR="009C4072" w:rsidRDefault="00140630">
      <w:pPr>
        <w:spacing w:line="720" w:lineRule="auto"/>
        <w:rPr>
          <w:rFonts w:ascii="仿宋_GB2312" w:eastAsia="仿宋_GB2312"/>
          <w:kern w:val="0"/>
          <w:sz w:val="32"/>
          <w:szCs w:val="32"/>
          <w:lang w:bidi="ar"/>
        </w:rPr>
      </w:pPr>
      <w:r>
        <w:rPr>
          <w:rFonts w:ascii="仿宋_GB2312" w:eastAsia="仿宋_GB2312" w:hint="eastAsia"/>
          <w:kern w:val="0"/>
          <w:sz w:val="32"/>
          <w:szCs w:val="32"/>
          <w:lang w:bidi="ar"/>
        </w:rPr>
        <w:t>《关于加强校外培训机构预收费监管工作的通知》:</w:t>
      </w:r>
    </w:p>
    <w:p w14:paraId="7CBDC0B8" w14:textId="77777777" w:rsidR="009C4072" w:rsidRDefault="00140630">
      <w:pPr>
        <w:spacing w:line="720" w:lineRule="auto"/>
        <w:jc w:val="center"/>
        <w:rPr>
          <w:rFonts w:ascii="仿宋_GB2312" w:eastAsia="仿宋_GB2312"/>
          <w:kern w:val="0"/>
          <w:sz w:val="32"/>
          <w:szCs w:val="32"/>
          <w:lang w:bidi="ar"/>
        </w:rPr>
      </w:pPr>
      <w:r>
        <w:rPr>
          <w:rFonts w:ascii="仿宋_GB2312" w:eastAsia="仿宋_GB2312" w:hint="eastAsia"/>
          <w:noProof/>
          <w:kern w:val="0"/>
          <w:sz w:val="32"/>
          <w:szCs w:val="32"/>
          <w:lang w:bidi="ar"/>
        </w:rPr>
        <w:drawing>
          <wp:inline distT="0" distB="0" distL="114300" distR="114300" wp14:anchorId="68C80030" wp14:editId="5BBC2F8A">
            <wp:extent cx="2114550" cy="2047875"/>
            <wp:effectExtent l="0" t="0" r="0" b="9525"/>
            <wp:docPr id="2" name="图片 2" descr="14906c8290662a51c2e1fbd655cdb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906c8290662a51c2e1fbd655cdb8e"/>
                    <pic:cNvPicPr>
                      <a:picLocks noChangeAspect="1"/>
                    </pic:cNvPicPr>
                  </pic:nvPicPr>
                  <pic:blipFill>
                    <a:blip r:embed="rId5"/>
                    <a:stretch>
                      <a:fillRect/>
                    </a:stretch>
                  </pic:blipFill>
                  <pic:spPr>
                    <a:xfrm>
                      <a:off x="0" y="0"/>
                      <a:ext cx="2114550" cy="2047875"/>
                    </a:xfrm>
                    <a:prstGeom prst="rect">
                      <a:avLst/>
                    </a:prstGeom>
                  </pic:spPr>
                </pic:pic>
              </a:graphicData>
            </a:graphic>
          </wp:inline>
        </w:drawing>
      </w:r>
    </w:p>
    <w:p w14:paraId="16975B84" w14:textId="77777777" w:rsidR="009C4072" w:rsidRDefault="00140630">
      <w:pPr>
        <w:spacing w:line="560" w:lineRule="exact"/>
        <w:rPr>
          <w:rFonts w:ascii="仿宋_GB2312" w:eastAsia="仿宋_GB2312"/>
          <w:kern w:val="0"/>
          <w:sz w:val="32"/>
          <w:szCs w:val="32"/>
          <w:lang w:bidi="ar"/>
        </w:rPr>
      </w:pPr>
      <w:r>
        <w:rPr>
          <w:rFonts w:ascii="仿宋_GB2312" w:eastAsia="仿宋_GB2312" w:hint="eastAsia"/>
          <w:kern w:val="0"/>
          <w:sz w:val="32"/>
          <w:szCs w:val="32"/>
          <w:lang w:bidi="ar"/>
        </w:rPr>
        <w:t>《关于进一步明确义务教育阶段校外培训学科类和非学科类范围的通知》：</w:t>
      </w:r>
    </w:p>
    <w:p w14:paraId="479E966B" w14:textId="77777777" w:rsidR="009C4072" w:rsidRDefault="00140630">
      <w:pPr>
        <w:spacing w:line="720" w:lineRule="auto"/>
        <w:jc w:val="center"/>
        <w:rPr>
          <w:rFonts w:ascii="仿宋_GB2312" w:eastAsia="仿宋_GB2312"/>
          <w:kern w:val="0"/>
          <w:sz w:val="32"/>
          <w:szCs w:val="32"/>
          <w:lang w:bidi="ar"/>
        </w:rPr>
      </w:pPr>
      <w:r>
        <w:rPr>
          <w:rFonts w:ascii="仿宋_GB2312" w:eastAsia="仿宋_GB2312" w:hint="eastAsia"/>
          <w:noProof/>
          <w:kern w:val="0"/>
          <w:sz w:val="32"/>
          <w:szCs w:val="32"/>
          <w:lang w:bidi="ar"/>
        </w:rPr>
        <w:drawing>
          <wp:inline distT="0" distB="0" distL="114300" distR="114300" wp14:anchorId="5D78B5DF" wp14:editId="7AE605B3">
            <wp:extent cx="2209800" cy="2114550"/>
            <wp:effectExtent l="0" t="0" r="0" b="0"/>
            <wp:docPr id="3" name="图片 3" descr="9a55ef5ef9f252e470d41003be8b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55ef5ef9f252e470d41003be8bbc0"/>
                    <pic:cNvPicPr>
                      <a:picLocks noChangeAspect="1"/>
                    </pic:cNvPicPr>
                  </pic:nvPicPr>
                  <pic:blipFill>
                    <a:blip r:embed="rId6"/>
                    <a:stretch>
                      <a:fillRect/>
                    </a:stretch>
                  </pic:blipFill>
                  <pic:spPr>
                    <a:xfrm>
                      <a:off x="0" y="0"/>
                      <a:ext cx="2209800" cy="2114550"/>
                    </a:xfrm>
                    <a:prstGeom prst="rect">
                      <a:avLst/>
                    </a:prstGeom>
                  </pic:spPr>
                </pic:pic>
              </a:graphicData>
            </a:graphic>
          </wp:inline>
        </w:drawing>
      </w:r>
    </w:p>
    <w:sectPr w:rsidR="009C4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
    <w:altName w:val="宋体"/>
    <w:charset w:val="00"/>
    <w:family w:val="auto"/>
    <w:pitch w:val="default"/>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2YTRjZjliYTc1Njc2NzdiMzk0ZDFjOTVjYTM3NjcifQ=="/>
  </w:docVars>
  <w:rsids>
    <w:rsidRoot w:val="009C4072"/>
    <w:rsid w:val="00140630"/>
    <w:rsid w:val="009C4072"/>
    <w:rsid w:val="00A2294D"/>
    <w:rsid w:val="0469145A"/>
    <w:rsid w:val="06D366DE"/>
    <w:rsid w:val="08EF1DC0"/>
    <w:rsid w:val="0BB2614A"/>
    <w:rsid w:val="0C1836D3"/>
    <w:rsid w:val="0FE51763"/>
    <w:rsid w:val="112453F4"/>
    <w:rsid w:val="143F0797"/>
    <w:rsid w:val="148138DC"/>
    <w:rsid w:val="179B49B5"/>
    <w:rsid w:val="1C11546D"/>
    <w:rsid w:val="277F0CF8"/>
    <w:rsid w:val="279978A1"/>
    <w:rsid w:val="28A644E9"/>
    <w:rsid w:val="2C87561C"/>
    <w:rsid w:val="32C51A10"/>
    <w:rsid w:val="363E2844"/>
    <w:rsid w:val="368D0806"/>
    <w:rsid w:val="3E391C30"/>
    <w:rsid w:val="3E4172A8"/>
    <w:rsid w:val="3F043BAC"/>
    <w:rsid w:val="41401527"/>
    <w:rsid w:val="419E624E"/>
    <w:rsid w:val="43A713E9"/>
    <w:rsid w:val="468B3FD7"/>
    <w:rsid w:val="4D4F0235"/>
    <w:rsid w:val="5EE65064"/>
    <w:rsid w:val="623E1E4C"/>
    <w:rsid w:val="65B243BC"/>
    <w:rsid w:val="66576748"/>
    <w:rsid w:val="69F977B6"/>
    <w:rsid w:val="6F563B40"/>
    <w:rsid w:val="6FA34B36"/>
    <w:rsid w:val="74116287"/>
    <w:rsid w:val="77AE2B69"/>
    <w:rsid w:val="7BD20118"/>
    <w:rsid w:val="7CE77B4E"/>
    <w:rsid w:val="7E82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A4341"/>
  <w15:docId w15:val="{8E14B01E-09AF-4822-9224-517DBC4D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德强 吕</cp:lastModifiedBy>
  <cp:revision>4</cp:revision>
  <cp:lastPrinted>2023-12-19T06:20:00Z</cp:lastPrinted>
  <dcterms:created xsi:type="dcterms:W3CDTF">2024-01-12T06:37:00Z</dcterms:created>
  <dcterms:modified xsi:type="dcterms:W3CDTF">2024-01-12T06:44:00Z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16F5072CC7184A77A20B0803111A27BB_12</vt:lpwstr>
  </property>
</Properties>
</file>